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39EB" w14:textId="77777777" w:rsidR="00883F2E" w:rsidRPr="00363C1C" w:rsidRDefault="00883F2E" w:rsidP="00883F2E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République Française</w:t>
      </w:r>
    </w:p>
    <w:p w14:paraId="6344D6D8" w14:textId="77777777" w:rsidR="00883F2E" w:rsidRPr="00363C1C" w:rsidRDefault="00883F2E" w:rsidP="00883F2E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Département de la Somme</w:t>
      </w:r>
    </w:p>
    <w:p w14:paraId="62F2FAA7" w14:textId="77777777" w:rsidR="00883F2E" w:rsidRPr="00363C1C" w:rsidRDefault="00883F2E" w:rsidP="00883F2E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363C1C">
        <w:rPr>
          <w:rFonts w:ascii="Arial Nova" w:hAnsi="Arial Nova"/>
          <w:b/>
          <w:bCs/>
          <w:sz w:val="24"/>
          <w:szCs w:val="24"/>
        </w:rPr>
        <w:t>CONSEIL MUNICIPAL d’ESSERTAUX</w:t>
      </w:r>
    </w:p>
    <w:p w14:paraId="1E86BEDF" w14:textId="39027663" w:rsidR="00883F2E" w:rsidRDefault="00883F2E" w:rsidP="00883F2E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u w:val="single"/>
        </w:rPr>
      </w:pPr>
      <w:r w:rsidRPr="00363C1C">
        <w:rPr>
          <w:rFonts w:ascii="Arial Nova" w:hAnsi="Arial Nova"/>
          <w:b/>
          <w:bCs/>
          <w:sz w:val="24"/>
          <w:szCs w:val="24"/>
          <w:u w:val="single"/>
        </w:rPr>
        <w:t xml:space="preserve">Compte-rendu de la séance du Conseil Municipal du </w:t>
      </w:r>
      <w:r>
        <w:rPr>
          <w:rFonts w:ascii="Arial Nova" w:hAnsi="Arial Nova"/>
          <w:b/>
          <w:bCs/>
          <w:sz w:val="24"/>
          <w:szCs w:val="24"/>
          <w:u w:val="single"/>
        </w:rPr>
        <w:t>29 AVRIL 2026</w:t>
      </w:r>
    </w:p>
    <w:p w14:paraId="32554190" w14:textId="77777777" w:rsidR="00883F2E" w:rsidRPr="00363C1C" w:rsidRDefault="00883F2E" w:rsidP="00883F2E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  <w:u w:val="single"/>
        </w:rPr>
      </w:pPr>
    </w:p>
    <w:p w14:paraId="0BC0EEE8" w14:textId="7C17AD31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Date de convocation : 21 Avril 2026</w:t>
      </w:r>
    </w:p>
    <w:p w14:paraId="0399F99A" w14:textId="77777777" w:rsidR="00883F2E" w:rsidRPr="00363C1C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450928B7" w14:textId="1CED7CA3" w:rsidR="00883F2E" w:rsidRPr="00363C1C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 w:rsidRPr="00363C1C">
        <w:rPr>
          <w:rFonts w:ascii="Arial Nova" w:hAnsi="Arial Nova"/>
          <w:sz w:val="24"/>
          <w:szCs w:val="24"/>
        </w:rPr>
        <w:t>L’an deux mille vingt-</w:t>
      </w:r>
      <w:r>
        <w:rPr>
          <w:rFonts w:ascii="Arial Nova" w:hAnsi="Arial Nova"/>
          <w:sz w:val="24"/>
          <w:szCs w:val="24"/>
        </w:rPr>
        <w:t>six</w:t>
      </w:r>
      <w:r w:rsidRPr="00363C1C">
        <w:rPr>
          <w:rFonts w:ascii="Arial Nova" w:hAnsi="Arial Nova"/>
          <w:sz w:val="24"/>
          <w:szCs w:val="24"/>
        </w:rPr>
        <w:t>, le</w:t>
      </w:r>
      <w:r>
        <w:rPr>
          <w:rFonts w:ascii="Arial Nova" w:hAnsi="Arial Nova"/>
          <w:sz w:val="24"/>
          <w:szCs w:val="24"/>
        </w:rPr>
        <w:t xml:space="preserve"> vingt-neuf Avril</w:t>
      </w:r>
      <w:r w:rsidRPr="00363C1C">
        <w:rPr>
          <w:rFonts w:ascii="Arial Nova" w:hAnsi="Arial Nova"/>
          <w:sz w:val="24"/>
          <w:szCs w:val="24"/>
        </w:rPr>
        <w:t>,</w:t>
      </w:r>
      <w:r>
        <w:rPr>
          <w:rFonts w:ascii="Arial Nova" w:hAnsi="Arial Nova"/>
          <w:sz w:val="24"/>
          <w:szCs w:val="24"/>
        </w:rPr>
        <w:t xml:space="preserve"> à dix-neuf heures,</w:t>
      </w:r>
      <w:r w:rsidRPr="00363C1C">
        <w:rPr>
          <w:rFonts w:ascii="Arial Nova" w:hAnsi="Arial Nova"/>
          <w:sz w:val="24"/>
          <w:szCs w:val="24"/>
        </w:rPr>
        <w:t xml:space="preserve"> le Conseil Municipal d’</w:t>
      </w:r>
      <w:r>
        <w:rPr>
          <w:rFonts w:ascii="Arial Nova" w:hAnsi="Arial Nova"/>
          <w:sz w:val="24"/>
          <w:szCs w:val="24"/>
        </w:rPr>
        <w:t>ESSSERTAUX</w:t>
      </w:r>
      <w:r w:rsidRPr="00363C1C">
        <w:rPr>
          <w:rFonts w:ascii="Arial Nova" w:hAnsi="Arial Nova"/>
          <w:sz w:val="24"/>
          <w:szCs w:val="24"/>
        </w:rPr>
        <w:t>, légalement convoqué, s’est réuni dans la salle de la Mairie, sous la Présidence de M. Jean DUBOIS, Maire.</w:t>
      </w:r>
    </w:p>
    <w:p w14:paraId="0B6BCEEC" w14:textId="77777777" w:rsidR="00883F2E" w:rsidRPr="00B7213D" w:rsidRDefault="00883F2E" w:rsidP="00883F2E">
      <w:pPr>
        <w:spacing w:after="0" w:line="240" w:lineRule="auto"/>
        <w:jc w:val="both"/>
        <w:rPr>
          <w:rFonts w:ascii="Arial Nova" w:hAnsi="Arial Nova"/>
          <w:color w:val="EE0000"/>
          <w:sz w:val="24"/>
          <w:szCs w:val="24"/>
        </w:rPr>
      </w:pPr>
    </w:p>
    <w:p w14:paraId="41EDF06D" w14:textId="77777777" w:rsidR="00883F2E" w:rsidRPr="00FB4078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 w:rsidRPr="00FB4078">
        <w:rPr>
          <w:rFonts w:ascii="Arial Nova" w:hAnsi="Arial Nova"/>
          <w:b/>
          <w:bCs/>
          <w:sz w:val="24"/>
          <w:szCs w:val="24"/>
        </w:rPr>
        <w:t>Etaient présents :</w:t>
      </w:r>
      <w:r w:rsidRPr="00FB4078">
        <w:rPr>
          <w:rFonts w:ascii="Arial Nova" w:hAnsi="Arial Nova"/>
          <w:sz w:val="24"/>
          <w:szCs w:val="24"/>
        </w:rPr>
        <w:t xml:space="preserve"> Jean DUBOIS, Nathalie RAMET, </w:t>
      </w:r>
      <w:r>
        <w:rPr>
          <w:rFonts w:ascii="Arial Nova" w:hAnsi="Arial Nova"/>
          <w:sz w:val="24"/>
          <w:szCs w:val="24"/>
        </w:rPr>
        <w:t>Patrice VAN OOTEGHEM, Anne GRAINE, Michel BOZO, Elodie BOCQUET, Manuel BACHELLEZ, Camille FESSART, Ludovic HERVY, Céline COURNIER et Marc LEBRUN.</w:t>
      </w:r>
    </w:p>
    <w:p w14:paraId="602D6461" w14:textId="77777777" w:rsidR="00883F2E" w:rsidRPr="00FB4078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4870D4D3" w14:textId="77777777" w:rsidR="00883F2E" w:rsidRPr="00363C1C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2BA17899" w14:textId="77777777" w:rsidR="00883F2E" w:rsidRPr="00CE50C2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 w:rsidRPr="00CE50C2">
        <w:rPr>
          <w:rFonts w:ascii="Arial Nova" w:hAnsi="Arial Nova"/>
          <w:sz w:val="24"/>
          <w:szCs w:val="24"/>
        </w:rPr>
        <w:t>ORDRE DU JOUR :</w:t>
      </w:r>
    </w:p>
    <w:p w14:paraId="6D405EF9" w14:textId="27A8A428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 w:rsidRPr="00CE50C2">
        <w:rPr>
          <w:rFonts w:ascii="Arial Nova" w:hAnsi="Arial Nova"/>
          <w:sz w:val="24"/>
          <w:szCs w:val="24"/>
        </w:rPr>
        <w:t xml:space="preserve">1 – </w:t>
      </w:r>
      <w:r>
        <w:rPr>
          <w:rFonts w:ascii="Arial Nova" w:hAnsi="Arial Nova"/>
          <w:sz w:val="24"/>
          <w:szCs w:val="24"/>
        </w:rPr>
        <w:t>APPROBATION DU PROCES-VERBAL DU 03 AVRIL 2026 ;</w:t>
      </w:r>
    </w:p>
    <w:p w14:paraId="3CF93043" w14:textId="747B3E88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2 – COMPTE FINANCIER UNIQUE 2025 ;</w:t>
      </w:r>
    </w:p>
    <w:p w14:paraId="1A1DCC7F" w14:textId="7600F648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3 – AFFECTATION DU RESULTAT 2025 ;</w:t>
      </w:r>
    </w:p>
    <w:p w14:paraId="61819E83" w14:textId="62B1E6F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4 – BUDGET COMMUNAL 2026 ;</w:t>
      </w:r>
    </w:p>
    <w:p w14:paraId="531BFF9B" w14:textId="56705F36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5 – FIXATION DES TAUX D’IMPOSITION 2026 ;</w:t>
      </w:r>
    </w:p>
    <w:p w14:paraId="420BA79E" w14:textId="0E96FB25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6 – ATTRIBUTION DE SUBVENTIONS ;</w:t>
      </w:r>
    </w:p>
    <w:p w14:paraId="55BF2EF9" w14:textId="1EE1EB40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7 – REALISATION D’UN EMPRUNT ;</w:t>
      </w:r>
    </w:p>
    <w:p w14:paraId="598875E9" w14:textId="77777777" w:rsidR="00883F2E" w:rsidRPr="00CE50C2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9 – QUESTIONS DIVERSES</w:t>
      </w:r>
    </w:p>
    <w:p w14:paraId="6320446F" w14:textId="77777777" w:rsidR="00883F2E" w:rsidRPr="00CE50C2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67EE3987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 w:rsidRPr="00CE50C2">
        <w:rPr>
          <w:rFonts w:ascii="Arial Nova" w:hAnsi="Arial Nova"/>
          <w:sz w:val="24"/>
          <w:szCs w:val="24"/>
        </w:rPr>
        <w:t>Le quorum étant atteint, l’assemblée peut valablement délibérer.</w:t>
      </w:r>
    </w:p>
    <w:p w14:paraId="3921DCC4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631F142E" w14:textId="23B7A1EC" w:rsidR="00883F2E" w:rsidRPr="00CE50C2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Secrétaire de séance : </w:t>
      </w:r>
      <w:r w:rsidR="00A40D3C">
        <w:rPr>
          <w:rFonts w:ascii="Arial Nova" w:hAnsi="Arial Nova"/>
          <w:sz w:val="24"/>
          <w:szCs w:val="24"/>
        </w:rPr>
        <w:t>Nathalie RAMET</w:t>
      </w:r>
    </w:p>
    <w:p w14:paraId="3A5625C4" w14:textId="77777777" w:rsidR="00883F2E" w:rsidRPr="00B7213D" w:rsidRDefault="00883F2E" w:rsidP="00883F2E">
      <w:pPr>
        <w:spacing w:after="0" w:line="240" w:lineRule="auto"/>
        <w:jc w:val="both"/>
        <w:rPr>
          <w:rFonts w:ascii="Arial Nova" w:hAnsi="Arial Nova"/>
          <w:color w:val="EE0000"/>
          <w:sz w:val="24"/>
          <w:szCs w:val="24"/>
        </w:rPr>
      </w:pPr>
    </w:p>
    <w:p w14:paraId="15F3B01D" w14:textId="2D57036F" w:rsidR="00883F2E" w:rsidRDefault="00883F2E" w:rsidP="00883F2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Le procès-verbal de la séance du 03 Avril 2026 est adopté à l’unanimité.</w:t>
      </w:r>
    </w:p>
    <w:p w14:paraId="40B80F31" w14:textId="77777777" w:rsidR="00883F2E" w:rsidRDefault="00883F2E" w:rsidP="00883F2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L’ordre du jour est ensuite abordé.</w:t>
      </w:r>
    </w:p>
    <w:p w14:paraId="702BAFA7" w14:textId="77777777" w:rsidR="00883F2E" w:rsidRDefault="00883F2E" w:rsidP="00883F2E">
      <w:pPr>
        <w:rPr>
          <w:rFonts w:ascii="Arial Nova" w:hAnsi="Arial Nova"/>
          <w:sz w:val="24"/>
          <w:szCs w:val="24"/>
        </w:rPr>
      </w:pPr>
    </w:p>
    <w:p w14:paraId="56FE863D" w14:textId="310CBF21" w:rsidR="00883F2E" w:rsidRPr="0044390E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44390E">
        <w:rPr>
          <w:rFonts w:ascii="Arial Nova" w:hAnsi="Arial Nova"/>
          <w:b/>
          <w:bCs/>
          <w:sz w:val="24"/>
          <w:szCs w:val="24"/>
          <w:u w:val="single"/>
        </w:rPr>
        <w:t xml:space="preserve">1 – </w:t>
      </w:r>
      <w:r>
        <w:rPr>
          <w:rFonts w:ascii="Arial Nova" w:hAnsi="Arial Nova"/>
          <w:b/>
          <w:bCs/>
          <w:sz w:val="24"/>
          <w:szCs w:val="24"/>
          <w:u w:val="single"/>
        </w:rPr>
        <w:t>COMPTE FINANCIER UNIQUE 2025</w:t>
      </w:r>
      <w:r w:rsidRPr="0044390E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7D70B3A3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311BA7BA" w14:textId="481E41A5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M. le Maire présente à l’assemblée le compte financier unique 2025 qui laisse apparaître les résultats suivants :</w:t>
      </w:r>
    </w:p>
    <w:p w14:paraId="7F13C954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157B1810" w14:textId="55E95042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Section de fonctionnement :</w:t>
      </w:r>
    </w:p>
    <w:p w14:paraId="36FEB9A0" w14:textId="59371BAD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Dépenses :</w:t>
      </w:r>
      <w:r>
        <w:rPr>
          <w:rFonts w:ascii="Arial Nova" w:hAnsi="Arial Nova"/>
        </w:rPr>
        <w:tab/>
      </w:r>
      <w:r w:rsidR="00587971">
        <w:rPr>
          <w:rFonts w:ascii="Arial Nova" w:hAnsi="Arial Nova"/>
        </w:rPr>
        <w:tab/>
      </w:r>
      <w:r w:rsidR="00587971">
        <w:rPr>
          <w:rFonts w:ascii="Arial Nova" w:hAnsi="Arial Nova"/>
        </w:rPr>
        <w:tab/>
        <w:t>100 347.44 €uros</w:t>
      </w:r>
      <w:r>
        <w:rPr>
          <w:rFonts w:ascii="Arial Nova" w:hAnsi="Arial Nova"/>
        </w:rPr>
        <w:tab/>
      </w:r>
    </w:p>
    <w:p w14:paraId="6918F5B7" w14:textId="11F1C594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Recettes :</w:t>
      </w:r>
      <w:r w:rsidR="00587971">
        <w:rPr>
          <w:rFonts w:ascii="Arial Nova" w:hAnsi="Arial Nova"/>
        </w:rPr>
        <w:tab/>
      </w:r>
      <w:r w:rsidR="00587971">
        <w:rPr>
          <w:rFonts w:ascii="Arial Nova" w:hAnsi="Arial Nova"/>
        </w:rPr>
        <w:tab/>
      </w:r>
      <w:r w:rsidR="00980C3E">
        <w:rPr>
          <w:rFonts w:ascii="Arial Nova" w:hAnsi="Arial Nova"/>
        </w:rPr>
        <w:tab/>
        <w:t>168 485.89 €uros</w:t>
      </w:r>
      <w:r w:rsidR="00587971">
        <w:rPr>
          <w:rFonts w:ascii="Arial Nova" w:hAnsi="Arial Nova"/>
        </w:rPr>
        <w:tab/>
      </w:r>
    </w:p>
    <w:p w14:paraId="64F5ADB5" w14:textId="2A5BAF32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Résultat 2025 :</w:t>
      </w:r>
      <w:r w:rsidR="00980C3E">
        <w:rPr>
          <w:rFonts w:ascii="Arial Nova" w:hAnsi="Arial Nova"/>
        </w:rPr>
        <w:tab/>
      </w:r>
      <w:proofErr w:type="gramStart"/>
      <w:r w:rsidR="00980C3E">
        <w:rPr>
          <w:rFonts w:ascii="Arial Nova" w:hAnsi="Arial Nova"/>
        </w:rPr>
        <w:tab/>
        <w:t xml:space="preserve">  68</w:t>
      </w:r>
      <w:proofErr w:type="gramEnd"/>
      <w:r w:rsidR="00980C3E">
        <w:rPr>
          <w:rFonts w:ascii="Arial Nova" w:hAnsi="Arial Nova"/>
        </w:rPr>
        <w:t> 038.45 €uros</w:t>
      </w:r>
    </w:p>
    <w:p w14:paraId="7E0D8E94" w14:textId="7E04EF45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Résultat antérieur :</w:t>
      </w:r>
      <w:r w:rsidR="00980C3E">
        <w:rPr>
          <w:rFonts w:ascii="Arial Nova" w:hAnsi="Arial Nova"/>
        </w:rPr>
        <w:tab/>
      </w:r>
      <w:r w:rsidR="00980C3E">
        <w:rPr>
          <w:rFonts w:ascii="Arial Nova" w:hAnsi="Arial Nova"/>
        </w:rPr>
        <w:tab/>
        <w:t>447 736.84 €uros</w:t>
      </w:r>
    </w:p>
    <w:p w14:paraId="10CF28F1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3551BAFA" w14:textId="40F9F01F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Soit un excédent global de :</w:t>
      </w:r>
      <w:r w:rsidR="00980C3E">
        <w:rPr>
          <w:rFonts w:ascii="Arial Nova" w:hAnsi="Arial Nova"/>
        </w:rPr>
        <w:tab/>
        <w:t>515 775.29 €uros</w:t>
      </w:r>
    </w:p>
    <w:p w14:paraId="2ECAB404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1AD0CFAF" w14:textId="54D08DE1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Section d’investissement :</w:t>
      </w:r>
    </w:p>
    <w:p w14:paraId="2A95FCF8" w14:textId="0435BD73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Dépenses :</w:t>
      </w:r>
      <w:r w:rsidR="00980C3E">
        <w:rPr>
          <w:rFonts w:ascii="Arial Nova" w:hAnsi="Arial Nova"/>
        </w:rPr>
        <w:tab/>
      </w:r>
      <w:r w:rsidR="00980C3E">
        <w:rPr>
          <w:rFonts w:ascii="Arial Nova" w:hAnsi="Arial Nova"/>
        </w:rPr>
        <w:tab/>
      </w:r>
      <w:proofErr w:type="gramStart"/>
      <w:r w:rsidR="00980C3E">
        <w:rPr>
          <w:rFonts w:ascii="Arial Nova" w:hAnsi="Arial Nova"/>
        </w:rPr>
        <w:tab/>
        <w:t xml:space="preserve">  66</w:t>
      </w:r>
      <w:proofErr w:type="gramEnd"/>
      <w:r w:rsidR="00980C3E">
        <w:rPr>
          <w:rFonts w:ascii="Arial Nova" w:hAnsi="Arial Nova"/>
        </w:rPr>
        <w:t> 280.34 €uros</w:t>
      </w:r>
    </w:p>
    <w:p w14:paraId="76CD89DD" w14:textId="04093BF9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ab/>
        <w:t>Recettes :</w:t>
      </w:r>
      <w:r w:rsidR="00980C3E">
        <w:rPr>
          <w:rFonts w:ascii="Arial Nova" w:hAnsi="Arial Nova"/>
        </w:rPr>
        <w:tab/>
      </w:r>
      <w:r w:rsidR="00980C3E">
        <w:rPr>
          <w:rFonts w:ascii="Arial Nova" w:hAnsi="Arial Nova"/>
        </w:rPr>
        <w:tab/>
      </w:r>
      <w:proofErr w:type="gramStart"/>
      <w:r w:rsidR="00980C3E">
        <w:rPr>
          <w:rFonts w:ascii="Arial Nova" w:hAnsi="Arial Nova"/>
        </w:rPr>
        <w:tab/>
        <w:t xml:space="preserve">  17</w:t>
      </w:r>
      <w:proofErr w:type="gramEnd"/>
      <w:r w:rsidR="00980C3E">
        <w:rPr>
          <w:rFonts w:ascii="Arial Nova" w:hAnsi="Arial Nova"/>
        </w:rPr>
        <w:t> 604.54 €uros</w:t>
      </w:r>
    </w:p>
    <w:p w14:paraId="161F152F" w14:textId="69AF41AD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Résultat 2025 :</w:t>
      </w:r>
      <w:r w:rsidR="00980C3E">
        <w:rPr>
          <w:rFonts w:ascii="Arial Nova" w:hAnsi="Arial Nova"/>
        </w:rPr>
        <w:tab/>
      </w:r>
      <w:proofErr w:type="gramStart"/>
      <w:r w:rsidR="00980C3E">
        <w:rPr>
          <w:rFonts w:ascii="Arial Nova" w:hAnsi="Arial Nova"/>
        </w:rPr>
        <w:tab/>
        <w:t xml:space="preserve">  48</w:t>
      </w:r>
      <w:proofErr w:type="gramEnd"/>
      <w:r w:rsidR="00980C3E">
        <w:rPr>
          <w:rFonts w:ascii="Arial Nova" w:hAnsi="Arial Nova"/>
        </w:rPr>
        <w:t> 675.80 €uros</w:t>
      </w:r>
    </w:p>
    <w:p w14:paraId="50AADA17" w14:textId="1002AEAD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ab/>
        <w:t>Résultat antérieur :</w:t>
      </w:r>
      <w:r w:rsidR="00980C3E">
        <w:rPr>
          <w:rFonts w:ascii="Arial Nova" w:hAnsi="Arial Nova"/>
        </w:rPr>
        <w:tab/>
      </w:r>
      <w:r w:rsidR="00980C3E">
        <w:rPr>
          <w:rFonts w:ascii="Arial Nova" w:hAnsi="Arial Nova"/>
        </w:rPr>
        <w:tab/>
        <w:t xml:space="preserve">    8 670.25 €uros</w:t>
      </w:r>
    </w:p>
    <w:p w14:paraId="1DC1FA23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386943AA" w14:textId="4AC9C212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Soit un déficit global de :</w:t>
      </w:r>
      <w:r w:rsidR="00980C3E">
        <w:rPr>
          <w:rFonts w:ascii="Arial Nova" w:hAnsi="Arial Nova"/>
        </w:rPr>
        <w:tab/>
      </w:r>
      <w:proofErr w:type="gramStart"/>
      <w:r w:rsidR="00980C3E">
        <w:rPr>
          <w:rFonts w:ascii="Arial Nova" w:hAnsi="Arial Nova"/>
        </w:rPr>
        <w:tab/>
        <w:t xml:space="preserve">  57</w:t>
      </w:r>
      <w:proofErr w:type="gramEnd"/>
      <w:r w:rsidR="00980C3E">
        <w:rPr>
          <w:rFonts w:ascii="Arial Nova" w:hAnsi="Arial Nova"/>
        </w:rPr>
        <w:t> 346.05 €uros</w:t>
      </w:r>
    </w:p>
    <w:p w14:paraId="71EE11FB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617F352A" w14:textId="58E99A29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M. le Maire laisse la présidence de séance à Mme RAMET Nathalie et quitte la salle.</w:t>
      </w:r>
    </w:p>
    <w:p w14:paraId="70F8B5C8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23EA1990" w14:textId="1FA38209" w:rsidR="00883F2E" w:rsidRPr="0071259F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Après en avoir délibéré, le Conseil Municipal adopte à l’unanimité le Compte Financier Unique 2025 tel qu’il a été présenté.</w:t>
      </w:r>
    </w:p>
    <w:p w14:paraId="0CFE65D6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16957F5D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0043C43E" w14:textId="33FA5762" w:rsidR="00883F2E" w:rsidRPr="0044390E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44390E">
        <w:rPr>
          <w:rFonts w:ascii="Arial Nova" w:hAnsi="Arial Nova"/>
          <w:b/>
          <w:bCs/>
          <w:sz w:val="24"/>
          <w:szCs w:val="24"/>
          <w:u w:val="single"/>
        </w:rPr>
        <w:t xml:space="preserve">2 – </w:t>
      </w:r>
      <w:r>
        <w:rPr>
          <w:rFonts w:ascii="Arial Nova" w:hAnsi="Arial Nova"/>
          <w:b/>
          <w:bCs/>
          <w:sz w:val="24"/>
          <w:szCs w:val="24"/>
          <w:u w:val="single"/>
        </w:rPr>
        <w:t>AFFECTATION DU RESULTAT 2025</w:t>
      </w:r>
      <w:r w:rsidRPr="0044390E">
        <w:rPr>
          <w:rFonts w:ascii="Arial Nova" w:hAnsi="Arial Nova"/>
          <w:b/>
          <w:bCs/>
          <w:sz w:val="24"/>
          <w:szCs w:val="24"/>
          <w:u w:val="single"/>
        </w:rPr>
        <w:t> ;</w:t>
      </w:r>
    </w:p>
    <w:p w14:paraId="42CC2D81" w14:textId="77777777" w:rsidR="00883F2E" w:rsidRPr="0071259F" w:rsidRDefault="00883F2E" w:rsidP="00883F2E">
      <w:pPr>
        <w:pStyle w:val="Standard"/>
        <w:jc w:val="both"/>
        <w:rPr>
          <w:rFonts w:ascii="Arial Nova" w:hAnsi="Arial Nova"/>
        </w:rPr>
      </w:pPr>
    </w:p>
    <w:p w14:paraId="599A81F3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784A7A2B" w14:textId="145C6A18" w:rsidR="00883F2E" w:rsidRDefault="00883F2E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Après en avoir délibéré,</w:t>
      </w:r>
    </w:p>
    <w:p w14:paraId="41738C31" w14:textId="77777777" w:rsidR="00CC65A5" w:rsidRDefault="00CC65A5" w:rsidP="00883F2E">
      <w:pPr>
        <w:pStyle w:val="Standard"/>
        <w:jc w:val="both"/>
        <w:rPr>
          <w:rFonts w:ascii="Arial Nova" w:hAnsi="Arial Nova"/>
        </w:rPr>
      </w:pPr>
      <w:r w:rsidRPr="00CC65A5">
        <w:rPr>
          <w:rFonts w:ascii="Arial Nova" w:hAnsi="Arial Nova"/>
        </w:rPr>
        <w:t>Statuant sur l'affectation du résultat de fonctionnement 2025</w:t>
      </w:r>
      <w:r>
        <w:rPr>
          <w:rFonts w:ascii="Arial Nova" w:hAnsi="Arial Nova"/>
        </w:rPr>
        <w:t>,</w:t>
      </w:r>
    </w:p>
    <w:p w14:paraId="47D64FAD" w14:textId="59525E18" w:rsidR="00883F2E" w:rsidRDefault="00CC65A5" w:rsidP="00883F2E">
      <w:pPr>
        <w:pStyle w:val="Standard"/>
        <w:jc w:val="both"/>
        <w:rPr>
          <w:rFonts w:ascii="Arial Nova" w:hAnsi="Arial Nova"/>
        </w:rPr>
      </w:pPr>
      <w:r w:rsidRPr="00CC65A5">
        <w:rPr>
          <w:rFonts w:ascii="Arial Nova" w:hAnsi="Arial Nova"/>
        </w:rPr>
        <w:t xml:space="preserve">Constatant que le </w:t>
      </w:r>
      <w:r>
        <w:rPr>
          <w:rFonts w:ascii="Arial Nova" w:hAnsi="Arial Nova"/>
        </w:rPr>
        <w:t xml:space="preserve">C.F.U. </w:t>
      </w:r>
      <w:r w:rsidRPr="00CC65A5">
        <w:rPr>
          <w:rFonts w:ascii="Arial Nova" w:hAnsi="Arial Nova"/>
        </w:rPr>
        <w:t xml:space="preserve"> </w:t>
      </w:r>
      <w:proofErr w:type="gramStart"/>
      <w:r w:rsidRPr="00CC65A5">
        <w:rPr>
          <w:rFonts w:ascii="Arial Nova" w:hAnsi="Arial Nova"/>
        </w:rPr>
        <w:t>présente</w:t>
      </w:r>
      <w:proofErr w:type="gramEnd"/>
      <w:r w:rsidRPr="00CC65A5">
        <w:rPr>
          <w:rFonts w:ascii="Arial Nova" w:hAnsi="Arial Nova"/>
        </w:rPr>
        <w:t xml:space="preserve"> les résultats suivants :</w:t>
      </w:r>
    </w:p>
    <w:p w14:paraId="08216254" w14:textId="77777777" w:rsidR="00883F2E" w:rsidRDefault="00883F2E" w:rsidP="00883F2E">
      <w:pPr>
        <w:pStyle w:val="Standard"/>
        <w:jc w:val="both"/>
        <w:rPr>
          <w:rFonts w:ascii="Arial Nova" w:hAnsi="Arial Nova"/>
        </w:rPr>
      </w:pPr>
    </w:p>
    <w:p w14:paraId="6895F6E5" w14:textId="4F29AEAD" w:rsidR="00587971" w:rsidRDefault="00587971" w:rsidP="00883F2E">
      <w:pPr>
        <w:pStyle w:val="Standard"/>
        <w:jc w:val="both"/>
        <w:rPr>
          <w:rFonts w:ascii="Arial Nova" w:hAnsi="Arial Nova"/>
        </w:rPr>
      </w:pPr>
      <w:r w:rsidRPr="00587971">
        <w:rPr>
          <w:rFonts w:ascii="Arial Nova" w:hAnsi="Arial Nova"/>
          <w:noProof/>
        </w:rPr>
        <w:drawing>
          <wp:inline distT="0" distB="0" distL="0" distR="0" wp14:anchorId="0D1EFB7E" wp14:editId="3EC6876E">
            <wp:extent cx="5943262" cy="1478280"/>
            <wp:effectExtent l="0" t="0" r="635" b="7620"/>
            <wp:docPr id="8392576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576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8819" cy="147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C0D6" w14:textId="77777777" w:rsidR="00587971" w:rsidRDefault="00587971" w:rsidP="00883F2E">
      <w:pPr>
        <w:pStyle w:val="Standard"/>
        <w:jc w:val="both"/>
        <w:rPr>
          <w:rFonts w:ascii="Arial Nova" w:hAnsi="Arial Nova"/>
        </w:rPr>
      </w:pPr>
    </w:p>
    <w:p w14:paraId="26E1A0F0" w14:textId="283D517A" w:rsidR="00587971" w:rsidRDefault="00587971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Considérant que seul le résultat de la section de fonctionnement doit faire l’objet de la délibération d’affectation du résultat (le résultat d’investissement reste toujours en investissement.</w:t>
      </w:r>
    </w:p>
    <w:p w14:paraId="5F297788" w14:textId="77777777" w:rsidR="00587971" w:rsidRDefault="00587971" w:rsidP="00883F2E">
      <w:pPr>
        <w:pStyle w:val="Standard"/>
        <w:jc w:val="both"/>
        <w:rPr>
          <w:rFonts w:ascii="Arial Nova" w:hAnsi="Arial Nova"/>
        </w:rPr>
      </w:pPr>
    </w:p>
    <w:p w14:paraId="05B83982" w14:textId="0813FCE9" w:rsidR="00587971" w:rsidRDefault="00587971" w:rsidP="00883F2E">
      <w:pPr>
        <w:pStyle w:val="Standard"/>
        <w:jc w:val="both"/>
        <w:rPr>
          <w:rFonts w:ascii="Arial Nova" w:hAnsi="Arial Nova"/>
        </w:rPr>
      </w:pPr>
      <w:r>
        <w:rPr>
          <w:rFonts w:ascii="Arial Nova" w:hAnsi="Arial Nova"/>
        </w:rPr>
        <w:t>Le Conseil Municipal décide à l’unanimité d’affecter le résultat comme suit :</w:t>
      </w:r>
    </w:p>
    <w:p w14:paraId="5B1B4071" w14:textId="77777777" w:rsidR="00587971" w:rsidRDefault="00587971" w:rsidP="00883F2E">
      <w:pPr>
        <w:pStyle w:val="Standard"/>
        <w:jc w:val="both"/>
        <w:rPr>
          <w:rFonts w:ascii="Arial Nova" w:hAnsi="Arial Nova"/>
        </w:rPr>
      </w:pPr>
    </w:p>
    <w:p w14:paraId="49330F08" w14:textId="2BA31B38" w:rsidR="00587971" w:rsidRDefault="00587971" w:rsidP="00883F2E">
      <w:pPr>
        <w:pStyle w:val="Standard"/>
        <w:jc w:val="both"/>
        <w:rPr>
          <w:rFonts w:ascii="Arial Nova" w:hAnsi="Arial Nova"/>
        </w:rPr>
      </w:pPr>
      <w:r w:rsidRPr="00587971">
        <w:rPr>
          <w:rFonts w:ascii="Arial Nova" w:hAnsi="Arial Nova"/>
          <w:noProof/>
        </w:rPr>
        <w:drawing>
          <wp:inline distT="0" distB="0" distL="0" distR="0" wp14:anchorId="2B580FCF" wp14:editId="256B7654">
            <wp:extent cx="6023645" cy="2316480"/>
            <wp:effectExtent l="0" t="0" r="0" b="7620"/>
            <wp:docPr id="9653227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227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5323" cy="232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7B6A" w14:textId="77777777" w:rsidR="00883F2E" w:rsidRPr="0071259F" w:rsidRDefault="00883F2E" w:rsidP="00883F2E">
      <w:pPr>
        <w:pStyle w:val="Standard"/>
        <w:jc w:val="both"/>
        <w:rPr>
          <w:rFonts w:ascii="Arial Nova" w:hAnsi="Arial Nova"/>
        </w:rPr>
      </w:pPr>
    </w:p>
    <w:p w14:paraId="2C1E1B73" w14:textId="77777777" w:rsidR="00587971" w:rsidRDefault="00587971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</w:p>
    <w:p w14:paraId="6BDCCB70" w14:textId="77777777" w:rsidR="00587971" w:rsidRDefault="00587971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</w:p>
    <w:p w14:paraId="04DA4AF6" w14:textId="77777777" w:rsidR="00587971" w:rsidRDefault="00587971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</w:p>
    <w:p w14:paraId="4A7A43A2" w14:textId="10757370" w:rsidR="00883F2E" w:rsidRPr="0044390E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44390E">
        <w:rPr>
          <w:rFonts w:ascii="Arial Nova" w:hAnsi="Arial Nova"/>
          <w:b/>
          <w:bCs/>
          <w:sz w:val="24"/>
          <w:szCs w:val="24"/>
          <w:u w:val="single"/>
        </w:rPr>
        <w:t xml:space="preserve">3 – </w:t>
      </w:r>
      <w:r w:rsidR="00CC65A5">
        <w:rPr>
          <w:rFonts w:ascii="Arial Nova" w:hAnsi="Arial Nova"/>
          <w:b/>
          <w:bCs/>
          <w:sz w:val="24"/>
          <w:szCs w:val="24"/>
          <w:u w:val="single"/>
        </w:rPr>
        <w:t>BUDGET COMMUNAL 2026</w:t>
      </w:r>
      <w:r w:rsidRPr="0044390E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4F818B8C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09998824" w14:textId="3B60E017" w:rsidR="00883F2E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le Maire présente à l’assemblée le projet de budget communal dont les prévisions sont les suivantes :</w:t>
      </w:r>
    </w:p>
    <w:p w14:paraId="2078632C" w14:textId="77777777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0F6BA62A" w14:textId="2580D868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Section de fonctionnement :</w:t>
      </w:r>
    </w:p>
    <w:p w14:paraId="64F982ED" w14:textId="0C07A618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Dépenses :</w:t>
      </w:r>
      <w:r w:rsidR="00587971">
        <w:rPr>
          <w:rFonts w:ascii="Arial Nova" w:hAnsi="Arial Nova"/>
          <w:sz w:val="24"/>
          <w:szCs w:val="24"/>
        </w:rPr>
        <w:tab/>
      </w:r>
      <w:r w:rsidR="00587971">
        <w:rPr>
          <w:rFonts w:ascii="Arial Nova" w:hAnsi="Arial Nova"/>
          <w:sz w:val="24"/>
          <w:szCs w:val="24"/>
        </w:rPr>
        <w:tab/>
        <w:t>151 168.00 €uros</w:t>
      </w:r>
    </w:p>
    <w:p w14:paraId="373716B5" w14:textId="1646FBA6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Recettes :</w:t>
      </w:r>
      <w:r w:rsidR="00587971">
        <w:rPr>
          <w:rFonts w:ascii="Arial Nova" w:hAnsi="Arial Nova"/>
          <w:sz w:val="24"/>
          <w:szCs w:val="24"/>
        </w:rPr>
        <w:tab/>
      </w:r>
      <w:r w:rsidR="00587971">
        <w:rPr>
          <w:rFonts w:ascii="Arial Nova" w:hAnsi="Arial Nova"/>
          <w:sz w:val="24"/>
          <w:szCs w:val="24"/>
        </w:rPr>
        <w:tab/>
        <w:t>610 227.24 €uros</w:t>
      </w:r>
    </w:p>
    <w:p w14:paraId="53E8A8C6" w14:textId="2A0AC5FF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Section d’investissement :</w:t>
      </w:r>
    </w:p>
    <w:p w14:paraId="7CE9D0ED" w14:textId="4ED4B104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Dépenses :</w:t>
      </w:r>
      <w:r w:rsidR="00587971">
        <w:rPr>
          <w:rFonts w:ascii="Arial Nova" w:hAnsi="Arial Nova"/>
          <w:sz w:val="24"/>
          <w:szCs w:val="24"/>
        </w:rPr>
        <w:tab/>
      </w:r>
      <w:r w:rsidR="00587971">
        <w:rPr>
          <w:rFonts w:ascii="Arial Nova" w:hAnsi="Arial Nova"/>
          <w:sz w:val="24"/>
          <w:szCs w:val="24"/>
        </w:rPr>
        <w:tab/>
        <w:t>215 644.00 €uros</w:t>
      </w:r>
    </w:p>
    <w:p w14:paraId="74844126" w14:textId="0770A9AF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Recettes :</w:t>
      </w:r>
      <w:r w:rsidR="00587971">
        <w:rPr>
          <w:rFonts w:ascii="Arial Nova" w:hAnsi="Arial Nova"/>
          <w:sz w:val="24"/>
          <w:szCs w:val="24"/>
        </w:rPr>
        <w:tab/>
      </w:r>
      <w:r w:rsidR="00587971">
        <w:rPr>
          <w:rFonts w:ascii="Arial Nova" w:hAnsi="Arial Nova"/>
          <w:sz w:val="24"/>
          <w:szCs w:val="24"/>
        </w:rPr>
        <w:tab/>
        <w:t>215 644.00 €uros</w:t>
      </w:r>
    </w:p>
    <w:p w14:paraId="178FDE94" w14:textId="77777777" w:rsid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7CCB356E" w14:textId="7A61946B" w:rsidR="00CC65A5" w:rsidRPr="00CC65A5" w:rsidRDefault="00CC65A5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Après en avoir délibéré, et s’être fait donn</w:t>
      </w:r>
      <w:r w:rsidR="00587971">
        <w:rPr>
          <w:rFonts w:ascii="Arial Nova" w:hAnsi="Arial Nova"/>
          <w:sz w:val="24"/>
          <w:szCs w:val="24"/>
        </w:rPr>
        <w:t>er</w:t>
      </w:r>
      <w:r>
        <w:rPr>
          <w:rFonts w:ascii="Arial Nova" w:hAnsi="Arial Nova"/>
          <w:sz w:val="24"/>
          <w:szCs w:val="24"/>
        </w:rPr>
        <w:t xml:space="preserve"> toutes explications, le Conseil Municipal adopte à l’unanimité le budget communal 2026.</w:t>
      </w:r>
    </w:p>
    <w:p w14:paraId="62087FE1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7B1EBA6B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64E29959" w14:textId="2AEB020C" w:rsidR="00883F2E" w:rsidRPr="008E153F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8E153F">
        <w:rPr>
          <w:rFonts w:ascii="Arial Nova" w:hAnsi="Arial Nova"/>
          <w:b/>
          <w:bCs/>
          <w:sz w:val="24"/>
          <w:szCs w:val="24"/>
          <w:u w:val="single"/>
        </w:rPr>
        <w:t xml:space="preserve">4 – </w:t>
      </w:r>
      <w:r w:rsidR="00CC65A5">
        <w:rPr>
          <w:rFonts w:ascii="Arial Nova" w:hAnsi="Arial Nova"/>
          <w:b/>
          <w:bCs/>
          <w:sz w:val="24"/>
          <w:szCs w:val="24"/>
          <w:u w:val="single"/>
        </w:rPr>
        <w:t>VOTE DES TAUX D’IMPOSITION</w:t>
      </w:r>
      <w:r w:rsidRPr="008E153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6421DC8C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0E2CDC47" w14:textId="506CBF6F" w:rsidR="00883F2E" w:rsidRDefault="00CC65A5" w:rsidP="00883F2E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M. le Maire présente à l’assemblée l’état transmis par la DGFIP présentant les bases d’imposition 2026 et les produits fiscaux prévisionnels.</w:t>
      </w:r>
    </w:p>
    <w:p w14:paraId="45DDD130" w14:textId="77777777" w:rsidR="00CC65A5" w:rsidRDefault="00CC65A5" w:rsidP="00883F2E">
      <w:pPr>
        <w:spacing w:after="0" w:line="240" w:lineRule="auto"/>
        <w:jc w:val="both"/>
        <w:rPr>
          <w:rFonts w:ascii="Arial Nova" w:hAnsi="Arial Nova"/>
        </w:rPr>
      </w:pPr>
    </w:p>
    <w:p w14:paraId="76FC1E88" w14:textId="4DFBF056" w:rsidR="00CC65A5" w:rsidRDefault="00CC65A5" w:rsidP="00883F2E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Après en avoir délibéré, le Conseil Municipal décide à l’unanimité de maintenir les taux, à savoir :</w:t>
      </w:r>
    </w:p>
    <w:p w14:paraId="129937BB" w14:textId="77777777" w:rsidR="00CC65A5" w:rsidRDefault="00CC65A5" w:rsidP="00883F2E">
      <w:pPr>
        <w:spacing w:after="0" w:line="240" w:lineRule="auto"/>
        <w:jc w:val="both"/>
        <w:rPr>
          <w:rFonts w:ascii="Arial Nova" w:hAnsi="Arial Nov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C65A5" w14:paraId="4D7CE7E1" w14:textId="77777777" w:rsidTr="00CC65A5">
        <w:tc>
          <w:tcPr>
            <w:tcW w:w="2265" w:type="dxa"/>
          </w:tcPr>
          <w:p w14:paraId="6D606F14" w14:textId="77777777" w:rsidR="00CC65A5" w:rsidRDefault="00CC65A5" w:rsidP="00883F2E">
            <w:pPr>
              <w:spacing w:line="240" w:lineRule="auto"/>
              <w:jc w:val="both"/>
              <w:rPr>
                <w:rFonts w:ascii="Arial Nova" w:hAnsi="Arial Nova"/>
              </w:rPr>
            </w:pPr>
          </w:p>
        </w:tc>
        <w:tc>
          <w:tcPr>
            <w:tcW w:w="2265" w:type="dxa"/>
          </w:tcPr>
          <w:p w14:paraId="279248E1" w14:textId="7BEFA8CA" w:rsidR="00CC65A5" w:rsidRDefault="00CC65A5" w:rsidP="00CC65A5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Base imposition</w:t>
            </w:r>
          </w:p>
        </w:tc>
        <w:tc>
          <w:tcPr>
            <w:tcW w:w="2265" w:type="dxa"/>
          </w:tcPr>
          <w:p w14:paraId="3202A7E5" w14:textId="302AA1B6" w:rsidR="00CC65A5" w:rsidRDefault="00CC65A5" w:rsidP="00CC65A5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Taux communal</w:t>
            </w:r>
          </w:p>
        </w:tc>
        <w:tc>
          <w:tcPr>
            <w:tcW w:w="2265" w:type="dxa"/>
          </w:tcPr>
          <w:p w14:paraId="2AEFD2F6" w14:textId="5E3D5069" w:rsidR="00CC65A5" w:rsidRDefault="00CC65A5" w:rsidP="00CC65A5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Produit fiscal</w:t>
            </w:r>
          </w:p>
        </w:tc>
      </w:tr>
      <w:tr w:rsidR="00CC65A5" w14:paraId="16FAA8B2" w14:textId="77777777" w:rsidTr="00CC65A5">
        <w:tc>
          <w:tcPr>
            <w:tcW w:w="2265" w:type="dxa"/>
          </w:tcPr>
          <w:p w14:paraId="4BD88BA3" w14:textId="1FF6AAEA" w:rsidR="00CC65A5" w:rsidRDefault="00CC65A5" w:rsidP="00883F2E">
            <w:pPr>
              <w:spacing w:line="240" w:lineRule="auto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Taxe foncière sur propriétés bâties</w:t>
            </w:r>
          </w:p>
        </w:tc>
        <w:tc>
          <w:tcPr>
            <w:tcW w:w="2265" w:type="dxa"/>
          </w:tcPr>
          <w:p w14:paraId="4D71D171" w14:textId="6BD73284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278 000 €</w:t>
            </w:r>
          </w:p>
        </w:tc>
        <w:tc>
          <w:tcPr>
            <w:tcW w:w="2265" w:type="dxa"/>
          </w:tcPr>
          <w:p w14:paraId="227CC51A" w14:textId="51A3C653" w:rsidR="00CC65A5" w:rsidRDefault="006F5DF4" w:rsidP="006F5DF4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32.21 %</w:t>
            </w:r>
          </w:p>
        </w:tc>
        <w:tc>
          <w:tcPr>
            <w:tcW w:w="2265" w:type="dxa"/>
          </w:tcPr>
          <w:p w14:paraId="27A24340" w14:textId="49DB586D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89 801 €</w:t>
            </w:r>
          </w:p>
        </w:tc>
      </w:tr>
      <w:tr w:rsidR="00CC65A5" w14:paraId="25BA9480" w14:textId="77777777" w:rsidTr="00CC65A5">
        <w:tc>
          <w:tcPr>
            <w:tcW w:w="2265" w:type="dxa"/>
          </w:tcPr>
          <w:p w14:paraId="29268237" w14:textId="1C0B2BEA" w:rsidR="00CC65A5" w:rsidRDefault="006F5DF4" w:rsidP="00883F2E">
            <w:pPr>
              <w:spacing w:line="240" w:lineRule="auto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Taxe foncière sur propriétés non bâties</w:t>
            </w:r>
          </w:p>
        </w:tc>
        <w:tc>
          <w:tcPr>
            <w:tcW w:w="2265" w:type="dxa"/>
          </w:tcPr>
          <w:p w14:paraId="455E51BF" w14:textId="651C9694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47 900 €</w:t>
            </w:r>
          </w:p>
        </w:tc>
        <w:tc>
          <w:tcPr>
            <w:tcW w:w="2265" w:type="dxa"/>
          </w:tcPr>
          <w:p w14:paraId="4E72D717" w14:textId="1021167E" w:rsidR="00CC65A5" w:rsidRDefault="006F5DF4" w:rsidP="006F5DF4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14.77 %</w:t>
            </w:r>
          </w:p>
        </w:tc>
        <w:tc>
          <w:tcPr>
            <w:tcW w:w="2265" w:type="dxa"/>
          </w:tcPr>
          <w:p w14:paraId="26B26ADE" w14:textId="59FB9532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7 075 €</w:t>
            </w:r>
          </w:p>
        </w:tc>
      </w:tr>
      <w:tr w:rsidR="00CC65A5" w14:paraId="6E7CC4B2" w14:textId="77777777" w:rsidTr="00CC65A5">
        <w:tc>
          <w:tcPr>
            <w:tcW w:w="2265" w:type="dxa"/>
          </w:tcPr>
          <w:p w14:paraId="01DFC1C7" w14:textId="53537C42" w:rsidR="00CC65A5" w:rsidRDefault="006F5DF4" w:rsidP="00883F2E">
            <w:pPr>
              <w:spacing w:line="240" w:lineRule="auto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Taxe habitation</w:t>
            </w:r>
          </w:p>
        </w:tc>
        <w:tc>
          <w:tcPr>
            <w:tcW w:w="2265" w:type="dxa"/>
          </w:tcPr>
          <w:p w14:paraId="0019A984" w14:textId="7D863A03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10 800 €</w:t>
            </w:r>
          </w:p>
        </w:tc>
        <w:tc>
          <w:tcPr>
            <w:tcW w:w="2265" w:type="dxa"/>
          </w:tcPr>
          <w:p w14:paraId="7388E599" w14:textId="488657BA" w:rsidR="00CC65A5" w:rsidRDefault="006F5DF4" w:rsidP="006F5DF4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10.19 %</w:t>
            </w:r>
          </w:p>
        </w:tc>
        <w:tc>
          <w:tcPr>
            <w:tcW w:w="2265" w:type="dxa"/>
          </w:tcPr>
          <w:p w14:paraId="65DD1BB4" w14:textId="5123BAAF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1 101 €</w:t>
            </w:r>
          </w:p>
        </w:tc>
      </w:tr>
      <w:tr w:rsidR="00CC65A5" w14:paraId="0B5A12BD" w14:textId="77777777" w:rsidTr="00CC65A5">
        <w:tc>
          <w:tcPr>
            <w:tcW w:w="2265" w:type="dxa"/>
          </w:tcPr>
          <w:p w14:paraId="4392C79E" w14:textId="433EBF6B" w:rsidR="00CC65A5" w:rsidRDefault="006F5DF4" w:rsidP="00883F2E">
            <w:pPr>
              <w:spacing w:line="240" w:lineRule="auto"/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C.F.E.</w:t>
            </w:r>
          </w:p>
        </w:tc>
        <w:tc>
          <w:tcPr>
            <w:tcW w:w="2265" w:type="dxa"/>
          </w:tcPr>
          <w:p w14:paraId="7100C20D" w14:textId="520C14E3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136 200 €</w:t>
            </w:r>
          </w:p>
        </w:tc>
        <w:tc>
          <w:tcPr>
            <w:tcW w:w="2265" w:type="dxa"/>
          </w:tcPr>
          <w:p w14:paraId="45215BC4" w14:textId="0CF0E1F1" w:rsidR="00CC65A5" w:rsidRDefault="006F5DF4" w:rsidP="006F5DF4">
            <w:pPr>
              <w:spacing w:line="240" w:lineRule="auto"/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11.70 %</w:t>
            </w:r>
          </w:p>
        </w:tc>
        <w:tc>
          <w:tcPr>
            <w:tcW w:w="2265" w:type="dxa"/>
          </w:tcPr>
          <w:p w14:paraId="2BCA4F89" w14:textId="3328EFE1" w:rsidR="00CC65A5" w:rsidRDefault="006F5DF4" w:rsidP="006F5DF4">
            <w:pPr>
              <w:spacing w:line="240" w:lineRule="auto"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15 935 €</w:t>
            </w:r>
          </w:p>
        </w:tc>
      </w:tr>
    </w:tbl>
    <w:p w14:paraId="4897CB89" w14:textId="77777777" w:rsidR="00CC65A5" w:rsidRDefault="00CC65A5" w:rsidP="00883F2E">
      <w:pPr>
        <w:spacing w:after="0" w:line="240" w:lineRule="auto"/>
        <w:jc w:val="both"/>
        <w:rPr>
          <w:rFonts w:ascii="Arial Nova" w:hAnsi="Arial Nova"/>
        </w:rPr>
      </w:pPr>
    </w:p>
    <w:p w14:paraId="6A0B3C4C" w14:textId="77777777" w:rsidR="00883F2E" w:rsidRPr="00F77759" w:rsidRDefault="00883F2E" w:rsidP="00883F2E">
      <w:pPr>
        <w:spacing w:after="0" w:line="240" w:lineRule="auto"/>
        <w:jc w:val="both"/>
        <w:rPr>
          <w:rFonts w:ascii="Arial Nova" w:hAnsi="Arial Nova"/>
        </w:rPr>
      </w:pPr>
    </w:p>
    <w:p w14:paraId="4C152BC4" w14:textId="636DA384" w:rsidR="00883F2E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8E153F">
        <w:rPr>
          <w:rFonts w:ascii="Arial Nova" w:hAnsi="Arial Nova"/>
          <w:b/>
          <w:bCs/>
          <w:sz w:val="24"/>
          <w:szCs w:val="24"/>
          <w:u w:val="single"/>
        </w:rPr>
        <w:t xml:space="preserve">5 – </w:t>
      </w:r>
      <w:r w:rsidR="006F5DF4">
        <w:rPr>
          <w:rFonts w:ascii="Arial Nova" w:hAnsi="Arial Nova"/>
          <w:b/>
          <w:bCs/>
          <w:sz w:val="24"/>
          <w:szCs w:val="24"/>
          <w:u w:val="single"/>
        </w:rPr>
        <w:t>ATTRIBUTION DE SUBVENTIONS</w:t>
      </w:r>
      <w:r w:rsidRPr="008E153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633CD737" w14:textId="77777777" w:rsidR="00883F2E" w:rsidRPr="008E153F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</w:p>
    <w:p w14:paraId="30A526CE" w14:textId="3C86108A" w:rsidR="00883F2E" w:rsidRDefault="006F5DF4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>Après en avoir délibéré, le Conseil Municipal décide à l’unanimité (Mme RAMET Nathalie ne participant au vote) d’attribuer les subventions suivantes au titre de 2026 :</w:t>
      </w:r>
    </w:p>
    <w:p w14:paraId="5EFE42D1" w14:textId="77777777" w:rsidR="006F5DF4" w:rsidRDefault="006F5DF4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</w:p>
    <w:p w14:paraId="17157249" w14:textId="3A94F76E" w:rsidR="006F5DF4" w:rsidRDefault="006F5DF4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  <w:t xml:space="preserve">Foyer Rural d’Essertaux : </w:t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  <w:t>1 000 €uros</w:t>
      </w:r>
    </w:p>
    <w:p w14:paraId="0FC2B12B" w14:textId="3EF4EEFE" w:rsidR="006F5DF4" w:rsidRDefault="006F5DF4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  <w:t>Souvenir Français :</w:t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  <w:t xml:space="preserve">   120 €uros.</w:t>
      </w:r>
    </w:p>
    <w:p w14:paraId="7F93409F" w14:textId="77777777" w:rsidR="001C0D1B" w:rsidRDefault="001C0D1B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</w:p>
    <w:p w14:paraId="0E858AB5" w14:textId="08FE793E" w:rsidR="001C0D1B" w:rsidRDefault="001C0D1B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>Les crédits nécessaires sont inscrits au budget 2026.</w:t>
      </w:r>
    </w:p>
    <w:p w14:paraId="4C6DAA9E" w14:textId="5ABC41DE" w:rsidR="006F5DF4" w:rsidRDefault="006F5DF4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  <w:r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  <w:tab/>
      </w:r>
    </w:p>
    <w:p w14:paraId="4ACE8720" w14:textId="77777777" w:rsidR="00883F2E" w:rsidRDefault="00883F2E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</w:p>
    <w:p w14:paraId="7022ABBE" w14:textId="744C6111" w:rsidR="00883F2E" w:rsidRPr="008E153F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8E153F">
        <w:rPr>
          <w:rFonts w:ascii="Arial Nova" w:hAnsi="Arial Nova"/>
          <w:b/>
          <w:bCs/>
          <w:sz w:val="24"/>
          <w:szCs w:val="24"/>
          <w:u w:val="single"/>
        </w:rPr>
        <w:t xml:space="preserve">6 – </w:t>
      </w:r>
      <w:r w:rsidR="006F5DF4">
        <w:rPr>
          <w:rFonts w:ascii="Arial Nova" w:hAnsi="Arial Nova"/>
          <w:b/>
          <w:bCs/>
          <w:sz w:val="24"/>
          <w:szCs w:val="24"/>
          <w:u w:val="single"/>
        </w:rPr>
        <w:t>REALISATION D’UN EMPRUNT POUR ACQUISITION IMMOBILIERE</w:t>
      </w:r>
      <w:r w:rsidRPr="008E153F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7D237F0C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528042A7" w14:textId="2C613FAA" w:rsidR="00883F2E" w:rsidRDefault="006F5DF4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M. le Maire rappelle à l’assemblée que par délibération du 03 Avril 2026, le Conseil Municipal a décidé d’exercer son droit de préemption et d’acquérir l’immeuble 7 Grande Rue à ESSERTAUX.</w:t>
      </w:r>
    </w:p>
    <w:p w14:paraId="486E34BC" w14:textId="77777777" w:rsidR="006F5DF4" w:rsidRDefault="006F5DF4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61F25B3F" w14:textId="77777777" w:rsidR="001C0D1B" w:rsidRDefault="006F5DF4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Après avoir pris connaissance des propositions de financement par emprunt, le Conseil Municipal décide à l’unanimité de retenir la proposition de la Caisse d’Epargne</w:t>
      </w:r>
      <w:r w:rsidR="001C0D1B">
        <w:rPr>
          <w:rFonts w:ascii="Arial Nova" w:hAnsi="Arial Nova"/>
          <w:sz w:val="24"/>
          <w:szCs w:val="24"/>
        </w:rPr>
        <w:t xml:space="preserve"> aux conditions suivantes :</w:t>
      </w:r>
    </w:p>
    <w:p w14:paraId="7ED4F6C7" w14:textId="0960ED18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Montant emprunté :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120 000 €uros</w:t>
      </w:r>
    </w:p>
    <w:p w14:paraId="1C9FA6B7" w14:textId="5139E656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Durée de l’emprunt :</w:t>
      </w:r>
      <w:r>
        <w:rPr>
          <w:rFonts w:ascii="Arial Nova" w:hAnsi="Arial Nova"/>
          <w:sz w:val="24"/>
          <w:szCs w:val="24"/>
        </w:rPr>
        <w:tab/>
        <w:t>1</w:t>
      </w:r>
      <w:r w:rsidR="00587971">
        <w:rPr>
          <w:rFonts w:ascii="Arial Nova" w:hAnsi="Arial Nova"/>
          <w:sz w:val="24"/>
          <w:szCs w:val="24"/>
        </w:rPr>
        <w:t>0</w:t>
      </w:r>
      <w:r>
        <w:rPr>
          <w:rFonts w:ascii="Arial Nova" w:hAnsi="Arial Nova"/>
          <w:sz w:val="24"/>
          <w:szCs w:val="24"/>
        </w:rPr>
        <w:t xml:space="preserve"> ans</w:t>
      </w:r>
    </w:p>
    <w:p w14:paraId="19FB8D13" w14:textId="79209F1E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Taux fixe :</w:t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4.</w:t>
      </w:r>
      <w:r w:rsidR="00587971">
        <w:rPr>
          <w:rFonts w:ascii="Arial Nova" w:hAnsi="Arial Nova"/>
          <w:sz w:val="24"/>
          <w:szCs w:val="24"/>
        </w:rPr>
        <w:t>05</w:t>
      </w:r>
      <w:r>
        <w:rPr>
          <w:rFonts w:ascii="Arial Nova" w:hAnsi="Arial Nova"/>
          <w:sz w:val="24"/>
          <w:szCs w:val="24"/>
        </w:rPr>
        <w:t xml:space="preserve"> %</w:t>
      </w:r>
    </w:p>
    <w:p w14:paraId="3A88ED71" w14:textId="4AA4D9D4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 xml:space="preserve">Echéance </w:t>
      </w:r>
      <w:r w:rsidR="00587971">
        <w:rPr>
          <w:rFonts w:ascii="Arial Nova" w:hAnsi="Arial Nova"/>
          <w:sz w:val="24"/>
          <w:szCs w:val="24"/>
        </w:rPr>
        <w:t>annuelle </w:t>
      </w:r>
    </w:p>
    <w:p w14:paraId="26E326DC" w14:textId="447B5626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Echéance constante :</w:t>
      </w:r>
      <w:r>
        <w:rPr>
          <w:rFonts w:ascii="Arial Nova" w:hAnsi="Arial Nova"/>
          <w:sz w:val="24"/>
          <w:szCs w:val="24"/>
        </w:rPr>
        <w:tab/>
      </w:r>
      <w:r w:rsidR="00587971">
        <w:rPr>
          <w:rFonts w:ascii="Arial Nova" w:hAnsi="Arial Nova"/>
          <w:sz w:val="24"/>
          <w:szCs w:val="24"/>
        </w:rPr>
        <w:t>14 831.76 €uros</w:t>
      </w:r>
    </w:p>
    <w:p w14:paraId="34A11518" w14:textId="77777777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4BABBEFE" w14:textId="1FBF455E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Base de calcul des intérêts : 360/360 en phase d’amortissement.</w:t>
      </w:r>
    </w:p>
    <w:p w14:paraId="0D71EB2D" w14:textId="626612D4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Déblocage des fonds : Premier déblocage dans un délais de 6 mois à compter de la signature du contrat par la Caisse d’Epargne. Déblocage total possible jusque 12 mois après signature du contrat.</w:t>
      </w:r>
    </w:p>
    <w:p w14:paraId="28F400D0" w14:textId="1F31929C" w:rsidR="001C0D1B" w:rsidRDefault="009E56E8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Remboursement anticipé : Partiel ou total, moyennant une indemnité actuarielle actualisation au taux du CMS de la duration résiduelle, avec un minimum de demande de remboursement équivalent à 10% du capital emprunté.</w:t>
      </w:r>
    </w:p>
    <w:p w14:paraId="5BAC9D7F" w14:textId="4063E95A" w:rsidR="009E56E8" w:rsidRDefault="009E56E8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Commission d’engagement : 0.20 % du montant emprunté avec un minimum de 300 €uros. Les frais sont déduits du premier déblocage.</w:t>
      </w:r>
    </w:p>
    <w:p w14:paraId="05D93DD7" w14:textId="5C7A7ADD" w:rsidR="009E56E8" w:rsidRDefault="009E56E8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Amortissement : progressif.</w:t>
      </w:r>
    </w:p>
    <w:p w14:paraId="1F912AFB" w14:textId="77777777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3ED9141C" w14:textId="3432A73F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Le Conseil Municipal autorise M. le Maire à signer le contrat correspondant avec la Caisse d’Epargne.</w:t>
      </w:r>
    </w:p>
    <w:p w14:paraId="24ACD093" w14:textId="77777777" w:rsidR="001C0D1B" w:rsidRDefault="001C0D1B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1D89E107" w14:textId="77777777" w:rsidR="00883F2E" w:rsidRDefault="00883F2E" w:rsidP="00883F2E">
      <w:pPr>
        <w:spacing w:after="3" w:line="252" w:lineRule="auto"/>
        <w:ind w:left="-5" w:hanging="10"/>
        <w:rPr>
          <w:rFonts w:ascii="Arial Nova" w:eastAsia="Lucida Sans" w:hAnsi="Arial Nova" w:cs="Lucida Sans"/>
          <w:color w:val="000000"/>
          <w:sz w:val="24"/>
          <w:szCs w:val="24"/>
          <w:lang w:eastAsia="fr-FR"/>
          <w14:ligatures w14:val="standardContextual"/>
        </w:rPr>
      </w:pPr>
    </w:p>
    <w:p w14:paraId="4D8A93A6" w14:textId="59F444C1" w:rsidR="00883F2E" w:rsidRPr="00970BD1" w:rsidRDefault="00883F2E" w:rsidP="00883F2E">
      <w:pPr>
        <w:spacing w:after="0" w:line="240" w:lineRule="auto"/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970BD1">
        <w:rPr>
          <w:rFonts w:ascii="Arial Nova" w:hAnsi="Arial Nova"/>
          <w:b/>
          <w:bCs/>
          <w:sz w:val="24"/>
          <w:szCs w:val="24"/>
          <w:u w:val="single"/>
        </w:rPr>
        <w:t xml:space="preserve">7 – </w:t>
      </w:r>
      <w:r w:rsidR="009E56E8">
        <w:rPr>
          <w:rFonts w:ascii="Arial Nova" w:hAnsi="Arial Nova"/>
          <w:b/>
          <w:bCs/>
          <w:sz w:val="24"/>
          <w:szCs w:val="24"/>
          <w:u w:val="single"/>
        </w:rPr>
        <w:t>QUESTIONS DIVERSES</w:t>
      </w:r>
      <w:r w:rsidRPr="00970BD1">
        <w:rPr>
          <w:rFonts w:ascii="Arial Nova" w:hAnsi="Arial Nova"/>
          <w:b/>
          <w:bCs/>
          <w:sz w:val="24"/>
          <w:szCs w:val="24"/>
          <w:u w:val="single"/>
        </w:rPr>
        <w:t> :</w:t>
      </w:r>
    </w:p>
    <w:p w14:paraId="584F136E" w14:textId="77777777" w:rsidR="00883F2E" w:rsidRDefault="00883F2E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138F745F" w14:textId="7831D0B3" w:rsidR="00883F2E" w:rsidRDefault="00587971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Patrice VAN OOTEGHEM demande que le procès-verbal soit mis sur le site internet de la Commune. Le nécessaire est fait systématiquement lorsque le procès-verbal est adopté par le Conseil Municipal. Il est également affiché à la Mairie.</w:t>
      </w:r>
    </w:p>
    <w:p w14:paraId="3507BD26" w14:textId="77777777" w:rsidR="00587971" w:rsidRDefault="00587971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0F76803A" w14:textId="252FDCB0" w:rsidR="00587971" w:rsidRDefault="00587971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Afin de permettre la limitation de vitesse des véhicules et assurer la sécurité au niveau du carrefour avec la rue de Gouvieux</w:t>
      </w:r>
      <w:r w:rsidR="00A40D3C">
        <w:rPr>
          <w:rFonts w:ascii="Arial Nova" w:hAnsi="Arial Nova"/>
          <w:sz w:val="24"/>
          <w:szCs w:val="24"/>
        </w:rPr>
        <w:t xml:space="preserve"> (pour éviter les véhicules qui coupent la route) Patrice VAN OOTEGHEM propose d’installer un stop sur la grande rue au niveau du N°14. Cette solution va être étudiée et la décision reviendra au Conseil Municipal lors d’une prochaine séance.</w:t>
      </w:r>
    </w:p>
    <w:p w14:paraId="0A6DBB09" w14:textId="77777777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3B70F503" w14:textId="0DA6CBDE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Il est signalé également des branches qui débordent sur la voie rue du Puits. M. le Maire précise que l’élagage est programmé.</w:t>
      </w:r>
    </w:p>
    <w:p w14:paraId="73341F40" w14:textId="77777777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5D35FE55" w14:textId="50E4593D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Nathalie RAMET invite les conseillers municipaux à participer au concours de pétanque organisé le 8 Mai prochain.</w:t>
      </w:r>
    </w:p>
    <w:p w14:paraId="3444699D" w14:textId="77777777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4039D00A" w14:textId="51BB99E4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Camille FESSART invite à participer à l’évènement en faveur de l’association « Dans les yeux de Célia » qui se déroulera le 26 Septembre à Molliens-Dreuil (trail, randonnée…)</w:t>
      </w:r>
    </w:p>
    <w:p w14:paraId="478378C5" w14:textId="77777777" w:rsidR="00A40D3C" w:rsidRDefault="00A40D3C" w:rsidP="00883F2E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14E30D08" w14:textId="3C30C807" w:rsidR="00883F2E" w:rsidRPr="00DC5C19" w:rsidRDefault="00A40D3C" w:rsidP="00A40D3C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En l’absence d’autres questions, la séance est levée à 20 H.45.</w:t>
      </w:r>
    </w:p>
    <w:p w14:paraId="0A08188D" w14:textId="77777777" w:rsidR="00883F2E" w:rsidRDefault="00883F2E"/>
    <w:sectPr w:rsidR="00883F2E" w:rsidSect="00883F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67E41"/>
    <w:multiLevelType w:val="hybridMultilevel"/>
    <w:tmpl w:val="FF18D912"/>
    <w:lvl w:ilvl="0" w:tplc="A7783A46">
      <w:start w:val="4"/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6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2E"/>
    <w:rsid w:val="001C0D1B"/>
    <w:rsid w:val="00587971"/>
    <w:rsid w:val="006F5DF4"/>
    <w:rsid w:val="00883F2E"/>
    <w:rsid w:val="00980C3E"/>
    <w:rsid w:val="009A6150"/>
    <w:rsid w:val="009E56E8"/>
    <w:rsid w:val="00A40D3C"/>
    <w:rsid w:val="00AA2A1E"/>
    <w:rsid w:val="00C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28A"/>
  <w15:chartTrackingRefBased/>
  <w15:docId w15:val="{070B38EA-7E59-4ACB-969E-F6DE9436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2E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8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3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3F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3F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3F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3F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3F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3F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3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3F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3F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3F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3F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3F2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83F2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Grilledutableau">
    <w:name w:val="Table Grid"/>
    <w:basedOn w:val="TableauNormal"/>
    <w:uiPriority w:val="39"/>
    <w:rsid w:val="00C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Ramet</dc:creator>
  <cp:keywords/>
  <dc:description/>
  <cp:lastModifiedBy>Utilisateur Windows</cp:lastModifiedBy>
  <cp:revision>3</cp:revision>
  <cp:lastPrinted>2026-04-30T08:06:00Z</cp:lastPrinted>
  <dcterms:created xsi:type="dcterms:W3CDTF">2026-04-29T10:24:00Z</dcterms:created>
  <dcterms:modified xsi:type="dcterms:W3CDTF">2026-04-30T08:06:00Z</dcterms:modified>
</cp:coreProperties>
</file>